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632" w:type="dxa"/>
        <w:tblInd w:w="-993" w:type="dxa"/>
        <w:tblLayout w:type="fixed"/>
        <w:tblCellMar>
          <w:top w:w="150" w:type="dxa"/>
          <w:left w:w="150" w:type="dxa"/>
          <w:bottom w:w="150" w:type="dxa"/>
          <w:right w:w="150" w:type="dxa"/>
        </w:tblCellMar>
        <w:tblLook w:val="0000" w:firstRow="0" w:lastRow="0" w:firstColumn="0" w:lastColumn="0" w:noHBand="0" w:noVBand="0"/>
      </w:tblPr>
      <w:tblGrid>
        <w:gridCol w:w="10632"/>
      </w:tblGrid>
      <w:tr w:rsidR="00651D32" w14:paraId="40E5050F" w14:textId="77777777" w:rsidTr="00A60103">
        <w:trPr>
          <w:trHeight w:val="23"/>
        </w:trPr>
        <w:tc>
          <w:tcPr>
            <w:tcW w:w="10632" w:type="dxa"/>
            <w:shd w:val="clear" w:color="auto" w:fill="FFFFFF"/>
            <w:vAlign w:val="center"/>
          </w:tcPr>
          <w:p w14:paraId="3E7E7F18" w14:textId="77777777" w:rsidR="00F664F8" w:rsidRDefault="00F664F8">
            <w:pPr>
              <w:jc w:val="center"/>
            </w:pPr>
          </w:p>
          <w:p w14:paraId="1EE3380A" w14:textId="3307DC20" w:rsidR="00A60103" w:rsidRDefault="00A60103">
            <w:pPr>
              <w:jc w:val="center"/>
              <w:rPr>
                <w:b/>
                <w:bCs/>
                <w:i/>
                <w:iCs/>
                <w:sz w:val="28"/>
                <w:szCs w:val="28"/>
                <w:lang w:val="en-US"/>
              </w:rPr>
            </w:pPr>
            <w:r>
              <w:rPr>
                <w:noProof/>
              </w:rPr>
              <w:drawing>
                <wp:inline distT="0" distB="0" distL="0" distR="0" wp14:anchorId="4F948D1E" wp14:editId="10F69B68">
                  <wp:extent cx="1291590" cy="1286933"/>
                  <wp:effectExtent l="0" t="0" r="3810" b="0"/>
                  <wp:docPr id="780898812" name="Graphic 780898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300188" cy="1295500"/>
                          </a:xfrm>
                          <a:prstGeom prst="rect">
                            <a:avLst/>
                          </a:prstGeom>
                        </pic:spPr>
                      </pic:pic>
                    </a:graphicData>
                  </a:graphic>
                </wp:inline>
              </w:drawing>
            </w:r>
          </w:p>
          <w:p w14:paraId="15DE87A0" w14:textId="12493E2E" w:rsidR="00F664F8" w:rsidRDefault="00F664F8">
            <w:pPr>
              <w:jc w:val="center"/>
              <w:rPr>
                <w:b/>
                <w:bCs/>
                <w:sz w:val="26"/>
                <w:szCs w:val="26"/>
                <w:lang w:val="en-US"/>
              </w:rPr>
            </w:pPr>
            <w:r>
              <w:rPr>
                <w:b/>
                <w:bCs/>
                <w:i/>
                <w:iCs/>
                <w:sz w:val="28"/>
                <w:szCs w:val="28"/>
                <w:lang w:val="en-US"/>
              </w:rPr>
              <w:t>For initial enquiries or further information please contact:</w:t>
            </w:r>
          </w:p>
          <w:p w14:paraId="1505B8AE" w14:textId="01E22495" w:rsidR="00F664F8" w:rsidRDefault="00F664F8">
            <w:pPr>
              <w:jc w:val="center"/>
              <w:rPr>
                <w:b/>
                <w:bCs/>
                <w:color w:val="0084D1"/>
                <w:sz w:val="26"/>
                <w:szCs w:val="26"/>
                <w:lang w:val="en-US"/>
              </w:rPr>
            </w:pPr>
            <w:r>
              <w:rPr>
                <w:b/>
                <w:bCs/>
                <w:sz w:val="26"/>
                <w:szCs w:val="26"/>
                <w:lang w:val="en-US"/>
              </w:rPr>
              <w:t xml:space="preserve">e-mail: </w:t>
            </w:r>
            <w:hyperlink r:id="rId9" w:history="1">
              <w:r w:rsidR="00713E0E" w:rsidRPr="00175924">
                <w:rPr>
                  <w:rStyle w:val="Hyperlink"/>
                  <w:b/>
                  <w:bCs/>
                  <w:sz w:val="26"/>
                  <w:szCs w:val="26"/>
                  <w:lang w:val="en-US"/>
                </w:rPr>
                <w:t>warden@littlehamptonquakers.org.uk</w:t>
              </w:r>
            </w:hyperlink>
          </w:p>
          <w:p w14:paraId="277D6852" w14:textId="60AC3870" w:rsidR="00713E0E" w:rsidRDefault="00713E0E">
            <w:pPr>
              <w:jc w:val="center"/>
              <w:rPr>
                <w:rFonts w:ascii="Arial" w:hAnsi="Arial" w:cs="Arial"/>
                <w:b/>
                <w:bCs/>
                <w:caps/>
                <w:sz w:val="18"/>
                <w:szCs w:val="18"/>
                <w:lang w:val="en-US"/>
              </w:rPr>
            </w:pPr>
            <w:r>
              <w:rPr>
                <w:b/>
                <w:bCs/>
                <w:color w:val="0084D1"/>
                <w:sz w:val="26"/>
                <w:szCs w:val="26"/>
                <w:lang w:val="en-US"/>
              </w:rPr>
              <w:t>Telephone: 07812151460</w:t>
            </w:r>
          </w:p>
          <w:p w14:paraId="178A9D7E" w14:textId="77777777" w:rsidR="00F664F8" w:rsidRDefault="00F664F8">
            <w:pPr>
              <w:keepNext/>
              <w:jc w:val="center"/>
              <w:rPr>
                <w:rFonts w:ascii="Arial" w:hAnsi="Arial" w:cs="Arial"/>
                <w:b/>
                <w:bCs/>
                <w:caps/>
                <w:sz w:val="18"/>
                <w:szCs w:val="18"/>
                <w:lang w:val="en-US"/>
              </w:rPr>
            </w:pPr>
          </w:p>
          <w:p w14:paraId="3BC899AE" w14:textId="77777777" w:rsidR="00F664F8" w:rsidRDefault="00F664F8">
            <w:pPr>
              <w:keepNext/>
              <w:pBdr>
                <w:top w:val="double" w:sz="1" w:space="1" w:color="C0C0C0"/>
                <w:left w:val="double" w:sz="1" w:space="4" w:color="C0C0C0"/>
                <w:bottom w:val="double" w:sz="1" w:space="1" w:color="C0C0C0"/>
                <w:right w:val="double" w:sz="1" w:space="4" w:color="C0C0C0"/>
              </w:pBdr>
              <w:jc w:val="center"/>
              <w:rPr>
                <w:rFonts w:ascii="Arial" w:hAnsi="Arial" w:cs="Arial"/>
                <w:bCs/>
                <w:lang w:val="en-US"/>
              </w:rPr>
            </w:pPr>
            <w:r>
              <w:rPr>
                <w:rFonts w:ascii="Arial" w:hAnsi="Arial" w:cs="Arial"/>
                <w:b/>
                <w:bCs/>
                <w:caps/>
                <w:sz w:val="26"/>
                <w:szCs w:val="26"/>
                <w:lang w:val="en-US"/>
              </w:rPr>
              <w:t xml:space="preserve">  Conditions of Hire </w:t>
            </w:r>
          </w:p>
          <w:p w14:paraId="19BC76D0" w14:textId="77777777" w:rsidR="00F664F8" w:rsidRDefault="00F664F8">
            <w:pPr>
              <w:pBdr>
                <w:top w:val="double" w:sz="1" w:space="1" w:color="C0C0C0"/>
                <w:left w:val="double" w:sz="1" w:space="4" w:color="C0C0C0"/>
                <w:bottom w:val="double" w:sz="1" w:space="1" w:color="C0C0C0"/>
                <w:right w:val="double" w:sz="1" w:space="4" w:color="C0C0C0"/>
              </w:pBdr>
              <w:jc w:val="both"/>
            </w:pPr>
            <w:r>
              <w:rPr>
                <w:rFonts w:ascii="Arial" w:hAnsi="Arial" w:cs="Arial"/>
                <w:bCs/>
                <w:lang w:val="en-US"/>
              </w:rPr>
              <w:br/>
              <w:t xml:space="preserve">Bookings are welcome up to one year in advance. All booking requests are to be made on the official booking form to the Warden who will confirm acceptance. </w:t>
            </w:r>
            <w:r>
              <w:rPr>
                <w:rFonts w:ascii="Arial" w:hAnsi="Arial" w:cs="Arial"/>
                <w:lang w:val="en-US"/>
              </w:rPr>
              <w:t xml:space="preserve">A deposit is required at the time of booking for an event, as advised by the Warden. </w:t>
            </w:r>
            <w:r>
              <w:rPr>
                <w:rFonts w:ascii="Arial" w:hAnsi="Arial" w:cs="Arial"/>
                <w:bCs/>
                <w:lang w:val="en-US"/>
              </w:rPr>
              <w:t>Payment in full is required immediately after an event. Regular weekly hirers are invoiced monthly in arrears, for immediate payment and other regular users are invoiced at appropriate intervals.</w:t>
            </w:r>
          </w:p>
          <w:p w14:paraId="6E26D1CA" w14:textId="77777777" w:rsidR="00F664F8" w:rsidRDefault="00F664F8">
            <w:pPr>
              <w:pBdr>
                <w:top w:val="double" w:sz="1" w:space="1" w:color="C0C0C0"/>
                <w:left w:val="double" w:sz="1" w:space="4" w:color="C0C0C0"/>
                <w:bottom w:val="double" w:sz="1" w:space="1" w:color="C0C0C0"/>
                <w:right w:val="double" w:sz="1" w:space="4" w:color="C0C0C0"/>
              </w:pBdr>
              <w:jc w:val="both"/>
            </w:pPr>
          </w:p>
          <w:p w14:paraId="504E89CC" w14:textId="77777777" w:rsidR="009441AB" w:rsidRDefault="00F664F8">
            <w:pPr>
              <w:pBdr>
                <w:top w:val="double" w:sz="1" w:space="1" w:color="C0C0C0"/>
                <w:left w:val="double" w:sz="1" w:space="4" w:color="C0C0C0"/>
                <w:bottom w:val="double" w:sz="1" w:space="1" w:color="C0C0C0"/>
                <w:right w:val="double" w:sz="1" w:space="4" w:color="C0C0C0"/>
              </w:pBdr>
              <w:jc w:val="both"/>
              <w:rPr>
                <w:rFonts w:ascii="Arial" w:hAnsi="Arial" w:cs="Arial"/>
                <w:lang w:val="en-US"/>
              </w:rPr>
            </w:pPr>
            <w:r>
              <w:rPr>
                <w:rFonts w:ascii="Arial" w:hAnsi="Arial" w:cs="Arial"/>
                <w:lang w:val="en-US"/>
              </w:rPr>
              <w:t>A month's notice of the cancellation of a booking is required unless a shorter period is agreed by the Warden for regular hirer(s).</w:t>
            </w:r>
            <w:r>
              <w:rPr>
                <w:rFonts w:ascii="Arial" w:hAnsi="Arial" w:cs="Arial"/>
                <w:b/>
                <w:bCs/>
                <w:lang w:val="en-US"/>
              </w:rPr>
              <w:t xml:space="preserve"> </w:t>
            </w:r>
            <w:r>
              <w:rPr>
                <w:rFonts w:ascii="Arial" w:hAnsi="Arial" w:cs="Arial"/>
                <w:lang w:val="en-US"/>
              </w:rPr>
              <w:t xml:space="preserve">Acceptance of a booking does not imply that the Society concurs with the views of the hirer(s). Meetings that are open to the public must be agreed by the Society in advance. </w:t>
            </w:r>
          </w:p>
          <w:p w14:paraId="2E5C6CC8" w14:textId="77777777" w:rsidR="009441AB" w:rsidRDefault="009441AB">
            <w:pPr>
              <w:pBdr>
                <w:top w:val="double" w:sz="1" w:space="1" w:color="C0C0C0"/>
                <w:left w:val="double" w:sz="1" w:space="4" w:color="C0C0C0"/>
                <w:bottom w:val="double" w:sz="1" w:space="1" w:color="C0C0C0"/>
                <w:right w:val="double" w:sz="1" w:space="4" w:color="C0C0C0"/>
              </w:pBdr>
              <w:jc w:val="both"/>
              <w:rPr>
                <w:rFonts w:ascii="Arial" w:hAnsi="Arial" w:cs="Arial"/>
                <w:lang w:val="en-US"/>
              </w:rPr>
            </w:pPr>
          </w:p>
          <w:p w14:paraId="624B367B" w14:textId="70094301" w:rsidR="00F664F8" w:rsidRDefault="00F664F8">
            <w:pPr>
              <w:pBdr>
                <w:top w:val="double" w:sz="1" w:space="1" w:color="C0C0C0"/>
                <w:left w:val="double" w:sz="1" w:space="4" w:color="C0C0C0"/>
                <w:bottom w:val="double" w:sz="1" w:space="1" w:color="C0C0C0"/>
                <w:right w:val="double" w:sz="1" w:space="4" w:color="C0C0C0"/>
              </w:pBdr>
              <w:jc w:val="both"/>
            </w:pPr>
            <w:r>
              <w:rPr>
                <w:rFonts w:ascii="Arial" w:hAnsi="Arial" w:cs="Arial"/>
                <w:b/>
                <w:bCs/>
                <w:color w:val="0084D1"/>
                <w:lang w:val="en-US"/>
              </w:rPr>
              <w:t xml:space="preserve">The Religious Society of Friends (Quakers) reserves the right to refuse the use of its premises by any </w:t>
            </w:r>
            <w:proofErr w:type="spellStart"/>
            <w:r>
              <w:rPr>
                <w:rFonts w:ascii="Arial" w:hAnsi="Arial" w:cs="Arial"/>
                <w:b/>
                <w:bCs/>
                <w:color w:val="0084D1"/>
                <w:lang w:val="en-US"/>
              </w:rPr>
              <w:t>organisation</w:t>
            </w:r>
            <w:proofErr w:type="spellEnd"/>
            <w:r>
              <w:rPr>
                <w:rFonts w:ascii="Arial" w:hAnsi="Arial" w:cs="Arial"/>
                <w:b/>
                <w:bCs/>
                <w:color w:val="0084D1"/>
                <w:lang w:val="en-US"/>
              </w:rPr>
              <w:t>, group or individual whose purposes are contrary to its beliefs &amp; values.</w:t>
            </w:r>
          </w:p>
          <w:p w14:paraId="7A75EF83" w14:textId="77777777" w:rsidR="00F664F8" w:rsidRDefault="00F664F8">
            <w:pPr>
              <w:pBdr>
                <w:top w:val="double" w:sz="1" w:space="1" w:color="C0C0C0"/>
                <w:left w:val="double" w:sz="1" w:space="4" w:color="C0C0C0"/>
                <w:bottom w:val="double" w:sz="1" w:space="1" w:color="C0C0C0"/>
                <w:right w:val="double" w:sz="1" w:space="4" w:color="C0C0C0"/>
              </w:pBdr>
              <w:jc w:val="both"/>
            </w:pPr>
          </w:p>
          <w:p w14:paraId="197264D6" w14:textId="77777777" w:rsidR="00F664F8" w:rsidRDefault="00F664F8">
            <w:pPr>
              <w:pBdr>
                <w:top w:val="double" w:sz="1" w:space="1" w:color="C0C0C0"/>
                <w:left w:val="double" w:sz="1" w:space="4" w:color="C0C0C0"/>
                <w:bottom w:val="double" w:sz="1" w:space="1" w:color="C0C0C0"/>
                <w:right w:val="double" w:sz="1" w:space="4" w:color="C0C0C0"/>
              </w:pBdr>
              <w:jc w:val="both"/>
            </w:pPr>
            <w:r>
              <w:rPr>
                <w:rFonts w:ascii="Arial" w:hAnsi="Arial" w:cs="Arial"/>
                <w:lang w:val="en-US"/>
              </w:rPr>
              <w:t>It is advised that those wishing to use the premises should ensure they are properly covered with third party insurance in respect of liability and any specific cover they may need in respect of their activity and their own property/cash during the use of the premises. Hirers may be asked to show that they have appropriate cover.</w:t>
            </w:r>
          </w:p>
          <w:p w14:paraId="54931D1D" w14:textId="77777777" w:rsidR="00F664F8" w:rsidRDefault="00F664F8">
            <w:pPr>
              <w:pBdr>
                <w:top w:val="double" w:sz="1" w:space="1" w:color="C0C0C0"/>
                <w:left w:val="double" w:sz="1" w:space="4" w:color="C0C0C0"/>
                <w:bottom w:val="double" w:sz="1" w:space="1" w:color="C0C0C0"/>
                <w:right w:val="double" w:sz="1" w:space="4" w:color="C0C0C0"/>
              </w:pBdr>
              <w:jc w:val="both"/>
            </w:pPr>
          </w:p>
          <w:p w14:paraId="2AD0C44B" w14:textId="77777777" w:rsidR="00F664F8" w:rsidRDefault="00F664F8">
            <w:pPr>
              <w:pBdr>
                <w:top w:val="double" w:sz="1" w:space="1" w:color="C0C0C0"/>
                <w:left w:val="double" w:sz="1" w:space="4" w:color="C0C0C0"/>
                <w:bottom w:val="double" w:sz="1" w:space="1" w:color="C0C0C0"/>
                <w:right w:val="double" w:sz="1" w:space="4" w:color="C0C0C0"/>
              </w:pBdr>
              <w:jc w:val="both"/>
              <w:rPr>
                <w:b/>
                <w:bCs/>
              </w:rPr>
            </w:pPr>
            <w:r>
              <w:rPr>
                <w:rFonts w:ascii="Arial" w:hAnsi="Arial" w:cs="Arial"/>
                <w:lang w:val="en-US"/>
              </w:rPr>
              <w:t xml:space="preserve">The person making any booking on behalf of a group or </w:t>
            </w:r>
            <w:proofErr w:type="spellStart"/>
            <w:r>
              <w:rPr>
                <w:rFonts w:ascii="Arial" w:hAnsi="Arial" w:cs="Arial"/>
                <w:lang w:val="en-US"/>
              </w:rPr>
              <w:t>organisation</w:t>
            </w:r>
            <w:proofErr w:type="spellEnd"/>
            <w:r>
              <w:rPr>
                <w:rFonts w:ascii="Arial" w:hAnsi="Arial" w:cs="Arial"/>
                <w:lang w:val="en-US"/>
              </w:rPr>
              <w:t xml:space="preserve"> will be responsible to the Society for the building's security and for health and safety of its members whilst using the premises. This includes awareness of procedures in the event of fire. Hirers are responsible for safeguarding any children and vulnerable adults who take part in their activities from abuse of any kind. They should hold a safeguarding policy and make this available or sign agreement to ours (see Warden for details). </w:t>
            </w:r>
            <w:r>
              <w:rPr>
                <w:rFonts w:ascii="Arial" w:hAnsi="Arial" w:cs="Arial"/>
                <w:b/>
                <w:bCs/>
                <w:color w:val="0084D1"/>
                <w:lang w:val="en-US"/>
              </w:rPr>
              <w:t xml:space="preserve">The Warden must be informed if the responsible person changes. </w:t>
            </w:r>
          </w:p>
          <w:p w14:paraId="26073429" w14:textId="77777777" w:rsidR="00F664F8" w:rsidRDefault="00F664F8">
            <w:pPr>
              <w:pBdr>
                <w:top w:val="double" w:sz="1" w:space="1" w:color="C0C0C0"/>
                <w:left w:val="double" w:sz="1" w:space="4" w:color="C0C0C0"/>
                <w:bottom w:val="double" w:sz="1" w:space="1" w:color="C0C0C0"/>
                <w:right w:val="double" w:sz="1" w:space="4" w:color="C0C0C0"/>
              </w:pBdr>
              <w:jc w:val="both"/>
              <w:rPr>
                <w:b/>
                <w:bCs/>
              </w:rPr>
            </w:pPr>
          </w:p>
          <w:p w14:paraId="7D68C43C" w14:textId="0C95ED5E" w:rsidR="00F664F8" w:rsidRDefault="00F664F8">
            <w:pPr>
              <w:pBdr>
                <w:top w:val="double" w:sz="1" w:space="1" w:color="C0C0C0"/>
                <w:left w:val="double" w:sz="1" w:space="4" w:color="C0C0C0"/>
                <w:bottom w:val="double" w:sz="1" w:space="1" w:color="C0C0C0"/>
                <w:right w:val="double" w:sz="1" w:space="4" w:color="C0C0C0"/>
              </w:pBdr>
              <w:jc w:val="both"/>
              <w:rPr>
                <w:rFonts w:ascii="Arial" w:hAnsi="Arial" w:cs="Arial"/>
                <w:lang w:val="en-US"/>
              </w:rPr>
            </w:pPr>
            <w:r>
              <w:rPr>
                <w:rFonts w:ascii="Arial" w:hAnsi="Arial" w:cs="Arial"/>
                <w:lang w:val="en-US"/>
              </w:rPr>
              <w:t xml:space="preserve">All personal accidents, however minor, must be reported to the Warden for entry in the Accident Book. Due care must be taken of all fixtures, fittings and equipment and all damage and breakages reported to the Warden. </w:t>
            </w:r>
            <w:r>
              <w:rPr>
                <w:rFonts w:ascii="Arial" w:hAnsi="Arial" w:cs="Arial"/>
                <w:b/>
                <w:bCs/>
                <w:color w:val="0066CC"/>
                <w:lang w:val="en-US"/>
              </w:rPr>
              <w:t>Smoking and the consumption of alcohol are not allowed on the premises.</w:t>
            </w:r>
            <w:r>
              <w:rPr>
                <w:rFonts w:ascii="Arial" w:hAnsi="Arial" w:cs="Arial"/>
                <w:color w:val="0066CC"/>
                <w:lang w:val="en-US"/>
              </w:rPr>
              <w:t xml:space="preserve"> </w:t>
            </w:r>
            <w:r>
              <w:rPr>
                <w:rFonts w:ascii="Arial" w:hAnsi="Arial" w:cs="Arial"/>
                <w:lang w:val="en-US"/>
              </w:rPr>
              <w:t xml:space="preserve">Hirers are required to leave the premises in a clean &amp; good state after use. </w:t>
            </w:r>
          </w:p>
          <w:p w14:paraId="3E9E18B7" w14:textId="77777777" w:rsidR="009441AB" w:rsidRDefault="009441AB">
            <w:pPr>
              <w:pBdr>
                <w:top w:val="double" w:sz="1" w:space="1" w:color="C0C0C0"/>
                <w:left w:val="double" w:sz="1" w:space="4" w:color="C0C0C0"/>
                <w:bottom w:val="double" w:sz="1" w:space="1" w:color="C0C0C0"/>
                <w:right w:val="double" w:sz="1" w:space="4" w:color="C0C0C0"/>
              </w:pBdr>
              <w:jc w:val="both"/>
              <w:rPr>
                <w:rFonts w:ascii="Arial" w:hAnsi="Arial" w:cs="Arial"/>
                <w:vanish/>
                <w:sz w:val="16"/>
                <w:szCs w:val="16"/>
                <w:lang w:val="en-US"/>
              </w:rPr>
            </w:pPr>
          </w:p>
          <w:p w14:paraId="373D2C9B" w14:textId="77777777" w:rsidR="00F664F8" w:rsidRDefault="00F664F8">
            <w:pPr>
              <w:pBdr>
                <w:top w:val="single" w:sz="4" w:space="1" w:color="000000"/>
              </w:pBdr>
              <w:jc w:val="both"/>
            </w:pPr>
            <w:r>
              <w:rPr>
                <w:rFonts w:ascii="Arial" w:hAnsi="Arial" w:cs="Arial"/>
                <w:vanish/>
                <w:sz w:val="16"/>
                <w:szCs w:val="16"/>
                <w:lang w:val="en-US"/>
              </w:rPr>
              <w:t>Bottom of Form</w:t>
            </w:r>
          </w:p>
        </w:tc>
      </w:tr>
    </w:tbl>
    <w:p w14:paraId="2CFFE69E" w14:textId="77777777" w:rsidR="00826AAB" w:rsidRDefault="00826AAB">
      <w:pPr>
        <w:spacing w:after="240"/>
        <w:jc w:val="both"/>
      </w:pPr>
    </w:p>
    <w:sectPr w:rsidR="00826AAB" w:rsidSect="00A60103">
      <w:headerReference w:type="even" r:id="rId10"/>
      <w:headerReference w:type="default" r:id="rId11"/>
      <w:footerReference w:type="even" r:id="rId12"/>
      <w:footerReference w:type="default" r:id="rId13"/>
      <w:headerReference w:type="first" r:id="rId14"/>
      <w:pgSz w:w="11900" w:h="16820"/>
      <w:pgMar w:top="1440" w:right="1800" w:bottom="1999" w:left="1800" w:header="720" w:footer="144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42B0A" w14:textId="77777777" w:rsidR="004B1133" w:rsidRDefault="004B1133">
      <w:r>
        <w:separator/>
      </w:r>
    </w:p>
  </w:endnote>
  <w:endnote w:type="continuationSeparator" w:id="0">
    <w:p w14:paraId="5942EB80" w14:textId="77777777" w:rsidR="004B1133" w:rsidRDefault="004B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175E" w14:textId="53FCF0AD" w:rsidR="00A60103" w:rsidRDefault="00A60103">
    <w:pPr>
      <w:pStyle w:val="Footer"/>
    </w:pPr>
    <w:r>
      <w:rPr>
        <w:noProof/>
      </w:rPr>
      <w:drawing>
        <wp:inline distT="0" distB="0" distL="0" distR="0" wp14:anchorId="29A9F198" wp14:editId="77A61867">
          <wp:extent cx="1291590" cy="1286933"/>
          <wp:effectExtent l="0" t="0" r="3810" b="0"/>
          <wp:docPr id="105440966" name="Graphic 105440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00188" cy="12955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A74E" w14:textId="36C8EE72" w:rsidR="00F664F8" w:rsidRDefault="009441AB">
    <w:pPr>
      <w:pStyle w:val="Footer"/>
      <w:jc w:val="center"/>
    </w:pPr>
    <w:r>
      <w:rPr>
        <w:i/>
        <w:iCs/>
      </w:rPr>
      <w:t xml:space="preserve">Littlehampton </w:t>
    </w:r>
    <w:r w:rsidR="00F664F8">
      <w:rPr>
        <w:i/>
        <w:iCs/>
      </w:rPr>
      <w:t>MH: Charges and Conditions of Hire 202</w:t>
    </w:r>
    <w:r w:rsidR="00664472">
      <w:rPr>
        <w:i/>
        <w:iC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3E826" w14:textId="77777777" w:rsidR="004B1133" w:rsidRDefault="004B1133">
      <w:r>
        <w:separator/>
      </w:r>
    </w:p>
  </w:footnote>
  <w:footnote w:type="continuationSeparator" w:id="0">
    <w:p w14:paraId="16EEADE7" w14:textId="77777777" w:rsidR="004B1133" w:rsidRDefault="004B1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80068" w14:textId="77777777" w:rsidR="00664472" w:rsidRDefault="00664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F038" w14:textId="5715F2B5" w:rsidR="00664472" w:rsidRDefault="0066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0BC84" w14:textId="77777777" w:rsidR="00664472" w:rsidRDefault="00664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824928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9B3"/>
    <w:rsid w:val="002319B3"/>
    <w:rsid w:val="003E3E4E"/>
    <w:rsid w:val="00474AC8"/>
    <w:rsid w:val="004B1133"/>
    <w:rsid w:val="00553D11"/>
    <w:rsid w:val="006375E3"/>
    <w:rsid w:val="00651D32"/>
    <w:rsid w:val="00664472"/>
    <w:rsid w:val="00713E0E"/>
    <w:rsid w:val="00755912"/>
    <w:rsid w:val="00826AAB"/>
    <w:rsid w:val="009359BD"/>
    <w:rsid w:val="009441AB"/>
    <w:rsid w:val="00A60103"/>
    <w:rsid w:val="00F664F8"/>
    <w:rsid w:val="00FA5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1E412B"/>
  <w15:chartTrackingRefBased/>
  <w15:docId w15:val="{AAC64F86-4477-4719-8DEC-486B69CB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outlineLvl w:val="0"/>
    </w:pPr>
    <w:rPr>
      <w:b/>
      <w:bCs/>
      <w:color w:val="000000"/>
      <w:sz w:val="20"/>
      <w:lang w:val="en-US"/>
    </w:rPr>
  </w:style>
  <w:style w:type="paragraph" w:styleId="Heading3">
    <w:name w:val="heading 3"/>
    <w:basedOn w:val="Normal"/>
    <w:next w:val="Normal"/>
    <w:qFormat/>
    <w:pPr>
      <w:keepNext/>
      <w:numPr>
        <w:ilvl w:val="2"/>
        <w:numId w:val="1"/>
      </w:numPr>
      <w:outlineLvl w:val="2"/>
    </w:pPr>
    <w:rPr>
      <w:color w:val="00000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styleId="Hyperlink">
    <w:name w:val="Hyperlink"/>
    <w:rPr>
      <w:color w:val="0000FF"/>
      <w:u w:val="single"/>
    </w:rPr>
  </w:style>
  <w:style w:type="character" w:customStyle="1" w:styleId="JudyMoody-Stuart">
    <w:name w:val="Judy Moody-Stuart"/>
    <w:rPr>
      <w:rFonts w:ascii="Garamond" w:hAnsi="Garamond" w:cs="Garamond"/>
      <w:b w:val="0"/>
      <w:bCs w:val="0"/>
      <w:i w:val="0"/>
      <w:iCs w:val="0"/>
      <w:strike w:val="0"/>
      <w:dstrike w:val="0"/>
      <w:color w:val="auto"/>
      <w:sz w:val="24"/>
      <w:szCs w:val="24"/>
      <w:u w:val="non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color w:val="000000"/>
      <w:sz w:val="20"/>
      <w:lang w:val="en-US"/>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DocumentMap">
    <w:name w:val="Document Map"/>
    <w:basedOn w:val="Normal"/>
    <w:pPr>
      <w:shd w:val="clear" w:color="auto" w:fill="000080"/>
    </w:pPr>
    <w:rPr>
      <w:rFonts w:ascii="Tahoma" w:hAnsi="Tahoma" w:cs="Tahoma"/>
      <w:sz w:val="20"/>
      <w:szCs w:val="20"/>
    </w:rPr>
  </w:style>
  <w:style w:type="paragraph" w:styleId="z-TopofForm">
    <w:name w:val="HTML Top of Form"/>
    <w:basedOn w:val="Normal"/>
    <w:next w:val="Normal"/>
    <w:pPr>
      <w:pBdr>
        <w:bottom w:val="single" w:sz="4" w:space="1" w:color="000000"/>
      </w:pBdr>
      <w:jc w:val="center"/>
    </w:pPr>
    <w:rPr>
      <w:rFonts w:ascii="Arial" w:hAnsi="Arial" w:cs="Arial"/>
      <w:vanish/>
      <w:color w:val="000000"/>
      <w:sz w:val="16"/>
      <w:szCs w:val="16"/>
      <w:lang w:val="en-US"/>
    </w:rPr>
  </w:style>
  <w:style w:type="paragraph" w:styleId="z-BottomofForm">
    <w:name w:val="HTML Bottom of Form"/>
    <w:basedOn w:val="Normal"/>
    <w:next w:val="Normal"/>
    <w:pPr>
      <w:pBdr>
        <w:top w:val="single" w:sz="4" w:space="1" w:color="000000"/>
      </w:pBdr>
      <w:jc w:val="center"/>
    </w:pPr>
    <w:rPr>
      <w:rFonts w:ascii="Arial" w:hAnsi="Arial" w:cs="Arial"/>
      <w:vanish/>
      <w:color w:val="000000"/>
      <w:sz w:val="16"/>
      <w:szCs w:val="16"/>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er">
    <w:name w:val="footer"/>
    <w:basedOn w:val="Normal"/>
    <w:pPr>
      <w:suppressLineNumbers/>
      <w:tabs>
        <w:tab w:val="center" w:pos="4320"/>
        <w:tab w:val="right" w:pos="8640"/>
      </w:tabs>
    </w:pPr>
  </w:style>
  <w:style w:type="paragraph" w:styleId="Header">
    <w:name w:val="header"/>
    <w:basedOn w:val="Normal"/>
    <w:pPr>
      <w:suppressLineNumbers/>
      <w:tabs>
        <w:tab w:val="center" w:pos="4986"/>
        <w:tab w:val="right" w:pos="9972"/>
      </w:tabs>
    </w:pPr>
  </w:style>
  <w:style w:type="character" w:styleId="UnresolvedMention">
    <w:name w:val="Unresolved Mention"/>
    <w:basedOn w:val="DefaultParagraphFont"/>
    <w:uiPriority w:val="99"/>
    <w:semiHidden/>
    <w:unhideWhenUsed/>
    <w:rsid w:val="00713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arden@littlehamptonquakers.org.uk"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MM Wardenship and Employment Committee Meeting</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 Wardenship and Employment Committee Meeting</dc:title>
  <dc:subject/>
  <dc:creator>Judy Moody-Stuart</dc:creator>
  <cp:keywords/>
  <cp:lastModifiedBy>Colin Holliday</cp:lastModifiedBy>
  <cp:revision>2</cp:revision>
  <cp:lastPrinted>2009-02-28T18:05:00Z</cp:lastPrinted>
  <dcterms:created xsi:type="dcterms:W3CDTF">2025-11-24T15:46:00Z</dcterms:created>
  <dcterms:modified xsi:type="dcterms:W3CDTF">2025-11-24T15:46:00Z</dcterms:modified>
</cp:coreProperties>
</file>